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9AD7" w14:textId="77777777" w:rsidR="00630BC9" w:rsidRDefault="00596299" w:rsidP="00630BC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596299"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A01D2" wp14:editId="4B2499C6">
                <wp:simplePos x="0" y="0"/>
                <wp:positionH relativeFrom="column">
                  <wp:posOffset>-381000</wp:posOffset>
                </wp:positionH>
                <wp:positionV relativeFrom="paragraph">
                  <wp:posOffset>-152400</wp:posOffset>
                </wp:positionV>
                <wp:extent cx="8934450" cy="6610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661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7FFD" w14:textId="77777777" w:rsidR="00596299" w:rsidRDefault="00596299" w:rsidP="00596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0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12pt;width:703.5pt;height:5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" filled="f">
                <v:textbox>
                  <w:txbxContent>
                    <w:p w14:paraId="16627FFD" w14:textId="77777777" w:rsidR="00596299" w:rsidRDefault="00596299" w:rsidP="00596299"/>
                  </w:txbxContent>
                </v:textbox>
              </v:shape>
            </w:pict>
          </mc:Fallback>
        </mc:AlternateContent>
      </w:r>
    </w:p>
    <w:p w14:paraId="1BE406A5" w14:textId="77777777" w:rsidR="00630BC9" w:rsidRDefault="00630BC9" w:rsidP="00630BC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DFA7EF" w14:textId="77777777" w:rsidR="00630BC9" w:rsidRDefault="00630BC9" w:rsidP="00630BC9">
      <w:pPr>
        <w:jc w:val="center"/>
        <w:rPr>
          <w:rFonts w:ascii="Arial" w:hAnsi="Arial" w:cs="Arial"/>
          <w:b/>
          <w:sz w:val="32"/>
          <w:szCs w:val="32"/>
        </w:rPr>
      </w:pPr>
    </w:p>
    <w:p w14:paraId="403A33F2" w14:textId="77777777" w:rsidR="001E5015" w:rsidRDefault="00E67AE5" w:rsidP="009B3C7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lang w:val="pt-PT" w:bidi="pt-PT"/>
        </w:rPr>
        <w:t>PLANO DE AÇÃO REGIONAL SOBRE O ALBINISMO EM ÁFRICA - 2017 a 2021</w:t>
      </w:r>
    </w:p>
    <w:p w14:paraId="13E7A6A1" w14:textId="77777777" w:rsidR="00B73408" w:rsidRPr="00B73408" w:rsidRDefault="00B73408" w:rsidP="00630BC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b/>
          <w:color w:val="C00000"/>
          <w:sz w:val="32"/>
          <w:lang w:val="pt-PT" w:bidi="pt-PT"/>
        </w:rPr>
        <w:t>Plano de 5 anos para combater os ataques e violações relacionadas contra pessoas com albinismo na África Subsariana</w:t>
      </w:r>
    </w:p>
    <w:p w14:paraId="38F02E8D" w14:textId="77777777" w:rsidR="002A2F5D" w:rsidRPr="00B73408" w:rsidRDefault="002A2F5D" w:rsidP="009B3C79">
      <w:pPr>
        <w:jc w:val="center"/>
        <w:outlineLvl w:val="0"/>
        <w:rPr>
          <w:rFonts w:ascii="Arial" w:hAnsi="Arial" w:cs="Arial"/>
          <w:color w:val="008000"/>
          <w:sz w:val="32"/>
          <w:szCs w:val="32"/>
        </w:rPr>
      </w:pPr>
      <w:r w:rsidRPr="00B73408">
        <w:rPr>
          <w:color w:val="008000"/>
          <w:sz w:val="32"/>
          <w:lang w:val="pt-PT" w:bidi="pt-PT"/>
        </w:rPr>
        <w:t>PROJETO a partir de abril de 2017</w:t>
      </w:r>
    </w:p>
    <w:p w14:paraId="7136BCAC" w14:textId="77777777" w:rsidR="00C87C4F" w:rsidRDefault="00596299" w:rsidP="0059629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</w:p>
    <w:p w14:paraId="5BF11070" w14:textId="77777777" w:rsidR="001768A2" w:rsidRPr="001768A2" w:rsidRDefault="001768A2" w:rsidP="009B3C79">
      <w:pPr>
        <w:tabs>
          <w:tab w:val="left" w:pos="1260"/>
          <w:tab w:val="left" w:pos="3880"/>
          <w:tab w:val="center" w:pos="6480"/>
        </w:tabs>
        <w:spacing w:after="0" w:line="240" w:lineRule="auto"/>
        <w:outlineLvl w:val="0"/>
        <w:rPr>
          <w:rFonts w:ascii="Adobe Myungjo Std M" w:eastAsia="Adobe Myungjo Std M" w:hAnsi="Adobe Myungjo Std M" w:cs="Arial"/>
          <w:sz w:val="32"/>
          <w:szCs w:val="32"/>
        </w:rPr>
      </w:pPr>
      <w:r>
        <w:rPr>
          <w:sz w:val="32"/>
          <w:lang w:val="pt-PT" w:bidi="pt-PT"/>
        </w:rPr>
        <w:tab/>
        <w:t xml:space="preserve">"Não deixar ninguém para trás", "A começar com </w:t>
      </w:r>
      <w:r>
        <w:rPr>
          <w:sz w:val="32"/>
          <w:u w:val="single"/>
          <w:lang w:val="pt-PT" w:bidi="pt-PT"/>
        </w:rPr>
        <w:t>o que estiver mais atrás</w:t>
      </w:r>
      <w:r>
        <w:rPr>
          <w:sz w:val="32"/>
          <w:lang w:val="pt-PT" w:bidi="pt-PT"/>
        </w:rPr>
        <w:t>"</w:t>
      </w:r>
    </w:p>
    <w:p w14:paraId="4A107F90" w14:textId="77777777" w:rsidR="001768A2" w:rsidRPr="00596299" w:rsidRDefault="001768A2" w:rsidP="009B3C79">
      <w:pPr>
        <w:spacing w:after="0" w:line="240" w:lineRule="auto"/>
        <w:ind w:left="2880" w:firstLine="720"/>
        <w:outlineLvl w:val="0"/>
        <w:rPr>
          <w:rFonts w:ascii="Adobe Myungjo Std M" w:eastAsia="Adobe Myungjo Std M" w:hAnsi="Adobe Myungjo Std M" w:cs="Arial"/>
          <w:sz w:val="24"/>
          <w:szCs w:val="24"/>
          <w:u w:val="single"/>
        </w:rPr>
      </w:pPr>
      <w:r w:rsidRPr="00596299">
        <w:rPr>
          <w:sz w:val="24"/>
          <w:lang w:val="pt-PT" w:bidi="pt-PT"/>
        </w:rPr>
        <w:t>Metas de Desenvolvimento Sustentável da ONU [Agenda 2030]</w:t>
      </w:r>
    </w:p>
    <w:p w14:paraId="75FAA036" w14:textId="77777777" w:rsidR="001768A2" w:rsidRDefault="00596299" w:rsidP="001768A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  <w:r>
        <w:rPr>
          <w:sz w:val="32"/>
          <w:lang w:val="pt-PT" w:bidi="pt-PT"/>
        </w:rPr>
        <w:tab/>
      </w:r>
    </w:p>
    <w:p w14:paraId="2AE11CD9" w14:textId="77777777" w:rsidR="001768A2" w:rsidRDefault="001768A2" w:rsidP="001768A2">
      <w:pPr>
        <w:rPr>
          <w:sz w:val="26"/>
          <w:szCs w:val="26"/>
        </w:rPr>
      </w:pPr>
    </w:p>
    <w:p w14:paraId="191C7399" w14:textId="77777777" w:rsidR="00EE2674" w:rsidRDefault="00EE2674" w:rsidP="001768A2">
      <w:pPr>
        <w:rPr>
          <w:sz w:val="26"/>
          <w:szCs w:val="26"/>
        </w:rPr>
      </w:pPr>
    </w:p>
    <w:p w14:paraId="738B61FC" w14:textId="77777777" w:rsidR="00EE2674" w:rsidRDefault="00EE2674" w:rsidP="001768A2">
      <w:pPr>
        <w:rPr>
          <w:sz w:val="26"/>
          <w:szCs w:val="26"/>
        </w:rPr>
      </w:pPr>
    </w:p>
    <w:p w14:paraId="453B0399" w14:textId="77777777" w:rsidR="00EE2674" w:rsidRDefault="00EE2674" w:rsidP="001768A2">
      <w:pPr>
        <w:rPr>
          <w:sz w:val="26"/>
          <w:szCs w:val="26"/>
        </w:rPr>
      </w:pPr>
    </w:p>
    <w:p w14:paraId="0405D296" w14:textId="77777777" w:rsidR="00630BC9" w:rsidRDefault="00630BC9" w:rsidP="001768A2">
      <w:pPr>
        <w:rPr>
          <w:sz w:val="26"/>
          <w:szCs w:val="26"/>
        </w:rPr>
      </w:pPr>
    </w:p>
    <w:p w14:paraId="6E6C7B56" w14:textId="77777777" w:rsidR="00596299" w:rsidRDefault="00596299" w:rsidP="001768A2">
      <w:pPr>
        <w:rPr>
          <w:sz w:val="26"/>
          <w:szCs w:val="26"/>
        </w:rPr>
      </w:pPr>
    </w:p>
    <w:p w14:paraId="52C490F2" w14:textId="77777777" w:rsidR="00596299" w:rsidRDefault="00596299" w:rsidP="001768A2">
      <w:pPr>
        <w:rPr>
          <w:b/>
          <w:sz w:val="26"/>
          <w:szCs w:val="26"/>
        </w:rPr>
      </w:pPr>
    </w:p>
    <w:p w14:paraId="59F973BF" w14:textId="77777777" w:rsidR="00596299" w:rsidRDefault="00596299" w:rsidP="001768A2">
      <w:pPr>
        <w:rPr>
          <w:b/>
          <w:sz w:val="26"/>
          <w:szCs w:val="26"/>
        </w:rPr>
      </w:pPr>
    </w:p>
    <w:p w14:paraId="51DA4C70" w14:textId="77777777" w:rsidR="00630BC9" w:rsidRPr="00CD33BA" w:rsidRDefault="00630BC9" w:rsidP="009B3C79">
      <w:pPr>
        <w:outlineLvl w:val="0"/>
        <w:rPr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>Introdução</w:t>
      </w:r>
    </w:p>
    <w:p w14:paraId="3EB34DAA" w14:textId="77777777" w:rsidR="00BB1007" w:rsidRDefault="00BB1007" w:rsidP="001768A2">
      <w:pPr>
        <w:rPr>
          <w:sz w:val="27"/>
          <w:szCs w:val="27"/>
        </w:rPr>
      </w:pPr>
    </w:p>
    <w:p w14:paraId="7FB73896" w14:textId="77777777" w:rsidR="00317474" w:rsidRPr="00CD33BA" w:rsidRDefault="00E67AE5" w:rsidP="001768A2">
      <w:pPr>
        <w:rPr>
          <w:rFonts w:ascii="Arial" w:hAnsi="Arial" w:cs="Arial"/>
          <w:b/>
          <w:sz w:val="27"/>
          <w:szCs w:val="27"/>
        </w:rPr>
      </w:pPr>
      <w:r w:rsidRPr="00CD33BA">
        <w:rPr>
          <w:sz w:val="27"/>
          <w:lang w:val="pt-PT" w:bidi="pt-PT"/>
        </w:rPr>
        <w:t xml:space="preserve">Desde 2006, foram relatadas mais de 600 ataques e outras violações contra pessoas com albinismo em 28 países na região de África. Dado o tamanho relativamente pequeno deste grupo de pessoas, estes números traduzem uma grande ameaça ao direito à vida para muitas pessoas com albinismo no continente. Além disso, estes números são apenas os casos relatados. Acredita-se que muitos casos não são relatados devido à participação dos membros da família e à ausência de um mecanismo de vigilância. Num esforço para combater tais violações, incluindo as raízes do problema, o Perito Independente da ONU sobre a apreciação das pessoas com albinismo em colaboração com vários mecanismos AU, incluindo a Comissão Africana de Direitos Humanos e dos Povos, o Comité de Peritos Africanos para os Direitos e o Bem-estar das Crianças, bem como outros parceiros de desenvolvimento internacional, </w:t>
      </w:r>
      <w:r w:rsidRPr="00CD33BA">
        <w:rPr>
          <w:rStyle w:val="FootnoteReference"/>
          <w:sz w:val="27"/>
          <w:lang w:val="pt-PT" w:bidi="pt-PT"/>
        </w:rPr>
        <w:footnoteReference w:id="1"/>
      </w:r>
      <w:r w:rsidRPr="00CD33BA">
        <w:rPr>
          <w:sz w:val="27"/>
          <w:lang w:val="pt-PT" w:bidi="pt-PT"/>
        </w:rPr>
        <w:t xml:space="preserve"> contribuíram para o desenvolvimento de um plano de ação regional.</w:t>
      </w:r>
    </w:p>
    <w:p w14:paraId="3302DDC9" w14:textId="77777777" w:rsidR="00630BC9" w:rsidRDefault="00E67AE5" w:rsidP="001768A2">
      <w:pPr>
        <w:jc w:val="both"/>
        <w:rPr>
          <w:sz w:val="27"/>
          <w:szCs w:val="27"/>
        </w:rPr>
      </w:pPr>
      <w:r w:rsidRPr="00CD33BA">
        <w:rPr>
          <w:sz w:val="27"/>
          <w:lang w:val="pt-PT" w:bidi="pt-PT"/>
        </w:rPr>
        <w:t>Este plano consiste nas recomendações feitas por vários órgãos de direitos humanos e mecanismos a nível da ONU e AU especificadas em medidas específicas e concretas realizáveis no imediato, a curto e a médio prazo (0 a 5 anos) enquanto desencadeiam iniciativas de longo prazo (mais de 5 anos).  Estão divididas em quatro grupos: prevenção, proteção, responsabilidade, igualdade e não discriminação. Até ao momento houve três consultas sobre estas medidas, todas em 2016, cujo objetivo era determinar, verificar e estabelecer a prioridade de medidas. Está prevista mais uma consulta em 2017. A aplicação destas medidas é da responsabilidade dos estados. No entanto, o apoio e investimento dos parceiros de desenvolvimento internacional são cruciais para alcançar os recursos e o apoio técnico necessários para os executar.</w:t>
      </w:r>
    </w:p>
    <w:p w14:paraId="10033546" w14:textId="77777777" w:rsidR="00BB1007" w:rsidRDefault="00BB1007" w:rsidP="001768A2">
      <w:pPr>
        <w:jc w:val="both"/>
        <w:rPr>
          <w:sz w:val="27"/>
          <w:szCs w:val="27"/>
        </w:rPr>
      </w:pPr>
    </w:p>
    <w:p w14:paraId="661F7C52" w14:textId="77777777" w:rsidR="00666ED4" w:rsidRPr="00CD33BA" w:rsidRDefault="00666ED4" w:rsidP="001768A2">
      <w:pPr>
        <w:jc w:val="both"/>
        <w:rPr>
          <w:sz w:val="27"/>
          <w:szCs w:val="27"/>
        </w:rPr>
      </w:pPr>
    </w:p>
    <w:p w14:paraId="60F130FA" w14:textId="77777777" w:rsidR="00EE2674" w:rsidRPr="00CD33BA" w:rsidRDefault="00191102" w:rsidP="009B3C79">
      <w:pPr>
        <w:spacing w:line="240" w:lineRule="auto"/>
        <w:outlineLvl w:val="0"/>
        <w:rPr>
          <w:rFonts w:ascii="Calibri" w:hAnsi="Calibri"/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 xml:space="preserve">Quadro </w:t>
      </w:r>
    </w:p>
    <w:p w14:paraId="1FF0C2D6" w14:textId="77777777" w:rsidR="00666ED4" w:rsidRDefault="00666ED4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 xml:space="preserve">As violações de direitos humanos enfrentadas por pessoas com albinismo no continente, cruzam várias áreas-chave. Como tal, há uma série de oportunidades que as organizações para/de pessoas com albinismo podem utilizar para a implementação destas medidas. </w:t>
      </w:r>
    </w:p>
    <w:p w14:paraId="726F4150" w14:textId="77777777" w:rsidR="00EE2674" w:rsidRDefault="00BB1007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Primeiro, podem ser integrados em quadros normativos e programas pré-existentes, tais como:</w:t>
      </w:r>
    </w:p>
    <w:p w14:paraId="31299565" w14:textId="77777777"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Reformas na justiça criminal e na aplicação da lei</w:t>
      </w:r>
    </w:p>
    <w:p w14:paraId="23551CEF" w14:textId="77777777"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Estratégias de educação pública</w:t>
      </w:r>
    </w:p>
    <w:p w14:paraId="1343BD1E" w14:textId="77777777"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Deficiência *</w:t>
      </w:r>
    </w:p>
    <w:p w14:paraId="28BAD588" w14:textId="77777777" w:rsidR="00BB1007" w:rsidRPr="00BB1007" w:rsidRDefault="00BB1007" w:rsidP="00BB100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 xml:space="preserve">Discriminação de cor ou racial </w:t>
      </w:r>
    </w:p>
    <w:p w14:paraId="229E8DA3" w14:textId="77777777" w:rsidR="00BB1007" w:rsidRDefault="00BB1007" w:rsidP="00EE26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 xml:space="preserve">Sexo </w:t>
      </w:r>
    </w:p>
    <w:p w14:paraId="37AC67C7" w14:textId="77777777" w:rsidR="00BB1007" w:rsidRPr="00BB1007" w:rsidRDefault="00BB1007" w:rsidP="00EE26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sz w:val="27"/>
          <w:szCs w:val="27"/>
        </w:rPr>
      </w:pPr>
      <w:r w:rsidRPr="00BB1007">
        <w:rPr>
          <w:sz w:val="27"/>
          <w:lang w:val="pt-PT" w:bidi="pt-PT"/>
        </w:rPr>
        <w:t>Iniciativas de desenvolvimento em particular:</w:t>
      </w:r>
    </w:p>
    <w:p w14:paraId="6C1614A8" w14:textId="77777777" w:rsidR="00EE2674" w:rsidRDefault="00BB1007" w:rsidP="00EE2674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Objetivos de Desenvolvimento Sustentável da ONU – Agenda 2030</w:t>
      </w:r>
    </w:p>
    <w:p w14:paraId="2623694B" w14:textId="77777777" w:rsidR="00BB1007" w:rsidRPr="00CD33BA" w:rsidRDefault="00BB1007" w:rsidP="00EE2674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Agenda 2063 da União Africana</w:t>
      </w:r>
    </w:p>
    <w:p w14:paraId="378B2A41" w14:textId="77777777" w:rsidR="00EE2674" w:rsidRPr="00CD33BA" w:rsidRDefault="00BB1007" w:rsidP="00EE2674">
      <w:pPr>
        <w:spacing w:line="240" w:lineRule="auto"/>
        <w:rPr>
          <w:rFonts w:ascii="Calibri" w:hAnsi="Calibri"/>
          <w:sz w:val="27"/>
          <w:szCs w:val="27"/>
        </w:rPr>
      </w:pPr>
      <w:r>
        <w:rPr>
          <w:sz w:val="27"/>
          <w:lang w:val="pt-PT" w:bidi="pt-PT"/>
        </w:rPr>
        <w:t>*A Convenção sobre os Direitos das Pessoas com Deficiência e o Projeto de Protocolo de AU sobre Deficiência são plataformas para promover esta causa. No entanto, os ataques e assassinatos de pessoas com albinismo é uma questão urgente de direitos humanos que requer medidas urgentes. É por esta razão que defendemos um plano de ação regional que requeira uma mudança política e a implementação estratégica de medidas específicas, nomeadamente através de todos os quadros acima mencionados.</w:t>
      </w:r>
    </w:p>
    <w:p w14:paraId="70E0C871" w14:textId="77777777" w:rsidR="00CD33BA" w:rsidRDefault="00CD33BA" w:rsidP="001768A2">
      <w:pPr>
        <w:spacing w:after="0" w:line="240" w:lineRule="auto"/>
        <w:rPr>
          <w:b/>
          <w:sz w:val="27"/>
          <w:szCs w:val="27"/>
        </w:rPr>
      </w:pPr>
    </w:p>
    <w:p w14:paraId="7A76862B" w14:textId="77777777" w:rsidR="00191102" w:rsidRPr="00CD33BA" w:rsidRDefault="00191102" w:rsidP="009B3C79">
      <w:pPr>
        <w:spacing w:after="0" w:line="240" w:lineRule="auto"/>
        <w:outlineLvl w:val="0"/>
        <w:rPr>
          <w:b/>
          <w:sz w:val="27"/>
          <w:szCs w:val="27"/>
        </w:rPr>
      </w:pPr>
      <w:r w:rsidRPr="00CD33BA">
        <w:rPr>
          <w:b/>
          <w:sz w:val="27"/>
          <w:lang w:val="pt-PT" w:bidi="pt-PT"/>
        </w:rPr>
        <w:t xml:space="preserve">Implementação e Controlo: </w:t>
      </w:r>
    </w:p>
    <w:p w14:paraId="300607D9" w14:textId="77777777" w:rsidR="00191102" w:rsidRPr="00CD33BA" w:rsidRDefault="00191102" w:rsidP="001768A2">
      <w:pPr>
        <w:spacing w:after="0" w:line="240" w:lineRule="auto"/>
        <w:rPr>
          <w:b/>
          <w:sz w:val="27"/>
          <w:szCs w:val="27"/>
        </w:rPr>
      </w:pPr>
    </w:p>
    <w:p w14:paraId="7267DCC8" w14:textId="77777777" w:rsidR="008B72AB" w:rsidRDefault="00CD33BA" w:rsidP="008B72AB">
      <w:pPr>
        <w:spacing w:after="0" w:line="240" w:lineRule="auto"/>
        <w:rPr>
          <w:sz w:val="27"/>
          <w:szCs w:val="27"/>
        </w:rPr>
      </w:pPr>
      <w:r>
        <w:rPr>
          <w:sz w:val="27"/>
          <w:lang w:val="pt-PT" w:bidi="pt-PT"/>
        </w:rPr>
        <w:t xml:space="preserve">Este plano será lançado on-line para melhorar o acesso e a solicitação de apoio, bem como para o controlo sistemático de realizações e boas práticas por país para promover a replicação; identificar lacunas de implementação; evitar a duplicação e para promover a cooperação entre uma variedade de partes interessadas no contexto da SDG </w:t>
      </w:r>
      <w:r>
        <w:rPr>
          <w:sz w:val="27"/>
          <w:lang w:val="pt-PT" w:bidi="pt-PT"/>
        </w:rPr>
        <w:lastRenderedPageBreak/>
        <w:t xml:space="preserve">Meta 17: "Parceria para as Metas." </w:t>
      </w:r>
      <w:r w:rsidR="000A55FA">
        <w:rPr>
          <w:rStyle w:val="FootnoteReference"/>
          <w:sz w:val="27"/>
          <w:lang w:val="pt-PT" w:bidi="pt-PT"/>
        </w:rPr>
        <w:footnoteReference w:id="2"/>
      </w:r>
      <w:r>
        <w:rPr>
          <w:sz w:val="27"/>
          <w:lang w:val="pt-PT" w:bidi="pt-PT"/>
        </w:rPr>
        <w:t xml:space="preserve">  A este respeito, será crucial para o governo nacional ter um ponto focal sobre a questão, para assegurar a execução eficaz e sustentável. Isto pode ser um ponto focal dentro de um Ministério existente ou um organismo interministerial.</w:t>
      </w:r>
    </w:p>
    <w:p w14:paraId="158DD367" w14:textId="77777777" w:rsidR="008B72AB" w:rsidRPr="008B72AB" w:rsidRDefault="008B72AB" w:rsidP="009B3C79">
      <w:pPr>
        <w:spacing w:after="0" w:line="240" w:lineRule="auto"/>
        <w:outlineLvl w:val="0"/>
        <w:rPr>
          <w:sz w:val="27"/>
          <w:szCs w:val="27"/>
        </w:rPr>
      </w:pPr>
      <w:r>
        <w:rPr>
          <w:b/>
          <w:sz w:val="28"/>
          <w:u w:val="single"/>
          <w:lang w:val="pt-PT" w:bidi="pt-PT"/>
        </w:rPr>
        <w:t>CHAVE</w:t>
      </w:r>
    </w:p>
    <w:p w14:paraId="7CF3DBE0" w14:textId="77777777" w:rsidR="008B72AB" w:rsidRPr="00191102" w:rsidRDefault="008B72AB" w:rsidP="008B72AB">
      <w:pPr>
        <w:spacing w:after="0" w:line="240" w:lineRule="auto"/>
        <w:rPr>
          <w:sz w:val="26"/>
          <w:szCs w:val="26"/>
        </w:rPr>
      </w:pPr>
      <w:r w:rsidRPr="00191102">
        <w:rPr>
          <w:sz w:val="26"/>
          <w:lang w:val="pt-PT" w:bidi="pt-PT"/>
        </w:rPr>
        <w:t>PCA: Pessoas com albinismo; Partes interessadas: cada grupo ou organismo relevante, incluindo o Estado, a sociedade civil, as instituições de direitos humanos nacionais, os mecanismos de desenvolvimento e direitos humanos regionais e internacionais. "Eu": Prazo imediato "S": Curto prazo = 1 a 2 anos; "M:" Médio prazo = 3 a 5 anos; "L:" A longo prazo = imediato e por diante.</w:t>
      </w:r>
    </w:p>
    <w:p w14:paraId="324708D4" w14:textId="77777777" w:rsidR="00A175CC" w:rsidRDefault="00A175CC" w:rsidP="008B72AB">
      <w:pPr>
        <w:rPr>
          <w:rFonts w:ascii="Arial" w:hAnsi="Arial" w:cs="Arial"/>
          <w:b/>
          <w:sz w:val="28"/>
          <w:szCs w:val="28"/>
          <w:u w:val="single"/>
        </w:rPr>
      </w:pPr>
    </w:p>
    <w:p w14:paraId="6A2A6895" w14:textId="77777777" w:rsidR="00191102" w:rsidRPr="00191102" w:rsidRDefault="00191102" w:rsidP="009B3C79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1102">
        <w:rPr>
          <w:b/>
          <w:sz w:val="28"/>
          <w:u w:val="single"/>
          <w:lang w:val="pt-PT" w:bidi="pt-PT"/>
        </w:rPr>
        <w:t>MEDIDAS ESPECÍFICAS</w:t>
      </w:r>
    </w:p>
    <w:p w14:paraId="77FB057A" w14:textId="77777777" w:rsidR="00191102" w:rsidRDefault="00191102" w:rsidP="00A43D06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740E01FE" w14:textId="77777777" w:rsidR="00191102" w:rsidRPr="001A3ABE" w:rsidRDefault="00191102" w:rsidP="009B3C79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prevenção</w:t>
      </w:r>
    </w:p>
    <w:tbl>
      <w:tblPr>
        <w:tblStyle w:val="TableGrid"/>
        <w:tblW w:w="14185" w:type="dxa"/>
        <w:tblInd w:w="-615" w:type="dxa"/>
        <w:tblLook w:val="04A0" w:firstRow="1" w:lastRow="0" w:firstColumn="1" w:lastColumn="0" w:noHBand="0" w:noVBand="1"/>
      </w:tblPr>
      <w:tblGrid>
        <w:gridCol w:w="361"/>
        <w:gridCol w:w="4981"/>
        <w:gridCol w:w="2770"/>
        <w:gridCol w:w="1447"/>
        <w:gridCol w:w="4626"/>
      </w:tblGrid>
      <w:tr w:rsidR="00633E01" w:rsidRPr="00191102" w14:paraId="5821D01B" w14:textId="77777777" w:rsidTr="00191102">
        <w:tc>
          <w:tcPr>
            <w:tcW w:w="361" w:type="dxa"/>
          </w:tcPr>
          <w:p w14:paraId="586F6409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981" w:type="dxa"/>
          </w:tcPr>
          <w:p w14:paraId="445D835D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Área prioritária</w:t>
            </w:r>
          </w:p>
        </w:tc>
        <w:tc>
          <w:tcPr>
            <w:tcW w:w="2770" w:type="dxa"/>
          </w:tcPr>
          <w:p w14:paraId="5285554F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Parte responsável</w:t>
            </w:r>
          </w:p>
        </w:tc>
        <w:tc>
          <w:tcPr>
            <w:tcW w:w="1447" w:type="dxa"/>
          </w:tcPr>
          <w:p w14:paraId="60269F53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>Período de tempo</w:t>
            </w:r>
          </w:p>
        </w:tc>
        <w:tc>
          <w:tcPr>
            <w:tcW w:w="4626" w:type="dxa"/>
          </w:tcPr>
          <w:p w14:paraId="44BB1502" w14:textId="77777777" w:rsidR="00633E01" w:rsidRPr="00191102" w:rsidRDefault="00374774" w:rsidP="00A43D0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91102">
              <w:rPr>
                <w:sz w:val="26"/>
                <w:u w:val="single"/>
                <w:lang w:val="pt-PT" w:bidi="pt-PT"/>
              </w:rPr>
              <w:t xml:space="preserve">Ideias </w:t>
            </w:r>
            <w:proofErr w:type="gramStart"/>
            <w:r w:rsidRPr="00191102">
              <w:rPr>
                <w:sz w:val="26"/>
                <w:u w:val="single"/>
                <w:lang w:val="pt-PT" w:bidi="pt-PT"/>
              </w:rPr>
              <w:t>sobre Como</w:t>
            </w:r>
            <w:proofErr w:type="gramEnd"/>
            <w:r w:rsidRPr="00191102">
              <w:rPr>
                <w:sz w:val="26"/>
                <w:u w:val="single"/>
                <w:lang w:val="pt-PT" w:bidi="pt-PT"/>
              </w:rPr>
              <w:t>/ Comentários</w:t>
            </w:r>
          </w:p>
        </w:tc>
      </w:tr>
      <w:tr w:rsidR="00633E01" w:rsidRPr="00191102" w14:paraId="42D7E704" w14:textId="77777777" w:rsidTr="00191102">
        <w:tc>
          <w:tcPr>
            <w:tcW w:w="361" w:type="dxa"/>
          </w:tcPr>
          <w:p w14:paraId="2439889B" w14:textId="77777777" w:rsidR="00633E01" w:rsidRPr="00191102" w:rsidRDefault="00633E01" w:rsidP="0077493A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1</w:t>
            </w:r>
          </w:p>
        </w:tc>
        <w:tc>
          <w:tcPr>
            <w:tcW w:w="4981" w:type="dxa"/>
          </w:tcPr>
          <w:p w14:paraId="4E3A7242" w14:textId="77777777" w:rsidR="00633E01" w:rsidRPr="00191102" w:rsidRDefault="00633E01" w:rsidP="0077493A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Educação pública e campanhas de sensibilização, sustentadas (e não ad hoc) durante, pelo menos, 2 anos</w:t>
            </w:r>
          </w:p>
        </w:tc>
        <w:tc>
          <w:tcPr>
            <w:tcW w:w="2770" w:type="dxa"/>
          </w:tcPr>
          <w:p w14:paraId="333E208C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Todas as partes interessadas</w:t>
            </w:r>
          </w:p>
        </w:tc>
        <w:tc>
          <w:tcPr>
            <w:tcW w:w="1447" w:type="dxa"/>
          </w:tcPr>
          <w:p w14:paraId="71737B24" w14:textId="77777777" w:rsidR="00633E01" w:rsidRPr="00191102" w:rsidRDefault="00633E01" w:rsidP="007749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 xml:space="preserve"> I a S</w:t>
            </w:r>
          </w:p>
        </w:tc>
        <w:tc>
          <w:tcPr>
            <w:tcW w:w="4626" w:type="dxa"/>
          </w:tcPr>
          <w:p w14:paraId="7647FD93" w14:textId="77777777" w:rsidR="00633E01" w:rsidRPr="00777332" w:rsidRDefault="00633E01" w:rsidP="008B72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Desmistificar o albinismo através do uso criativo dos meios de comunicação. Envolver as organizações de base de fé e curandeiros tradicionais, familiares e pessoas com albinismo. Designar pessoas com albinismo para funções de estatuto elevado. Replicar a imagem de PCA em materiais públicos. Usar os meios de comunicação tradicionais e as redes sociais. Formar a equipa de comunicação social sobe o assunto.</w:t>
            </w:r>
          </w:p>
        </w:tc>
      </w:tr>
      <w:tr w:rsidR="00633E01" w:rsidRPr="00191102" w14:paraId="6F8D46EC" w14:textId="77777777" w:rsidTr="00191102">
        <w:tc>
          <w:tcPr>
            <w:tcW w:w="361" w:type="dxa"/>
          </w:tcPr>
          <w:p w14:paraId="6FC64C9B" w14:textId="77777777" w:rsidR="00633E01" w:rsidRPr="0019110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lastRenderedPageBreak/>
              <w:t>2</w:t>
            </w:r>
          </w:p>
        </w:tc>
        <w:tc>
          <w:tcPr>
            <w:tcW w:w="4981" w:type="dxa"/>
          </w:tcPr>
          <w:p w14:paraId="2575D371" w14:textId="77777777" w:rsidR="00633E01" w:rsidRPr="0019110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Recolha de dados: dados desagregados avaliação de necessidades (incluindo as necessidades de segurança)</w:t>
            </w:r>
          </w:p>
        </w:tc>
        <w:tc>
          <w:tcPr>
            <w:tcW w:w="2770" w:type="dxa"/>
          </w:tcPr>
          <w:p w14:paraId="343D56B7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447" w:type="dxa"/>
          </w:tcPr>
          <w:p w14:paraId="30347AF4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M a L</w:t>
            </w:r>
          </w:p>
        </w:tc>
        <w:tc>
          <w:tcPr>
            <w:tcW w:w="4626" w:type="dxa"/>
          </w:tcPr>
          <w:p w14:paraId="685DBFA0" w14:textId="77777777" w:rsidR="00633E01" w:rsidRPr="00777332" w:rsidRDefault="00191102" w:rsidP="00B031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O censo deve permitir que as pessoas escolham especificamente o "albinismo" das listas.  Os setores relacionados com Deficiência, Saúde e Educação também podem recolher dados de forma pró-ativa. </w:t>
            </w:r>
          </w:p>
        </w:tc>
      </w:tr>
      <w:tr w:rsidR="00633E01" w:rsidRPr="00191102" w14:paraId="1E80AE95" w14:textId="77777777" w:rsidTr="00191102">
        <w:tc>
          <w:tcPr>
            <w:tcW w:w="361" w:type="dxa"/>
          </w:tcPr>
          <w:p w14:paraId="19E6B7DC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3</w:t>
            </w:r>
          </w:p>
        </w:tc>
        <w:tc>
          <w:tcPr>
            <w:tcW w:w="4981" w:type="dxa"/>
          </w:tcPr>
          <w:p w14:paraId="43282A98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Causas principais – identificar e abordar</w:t>
            </w:r>
          </w:p>
        </w:tc>
        <w:tc>
          <w:tcPr>
            <w:tcW w:w="2770" w:type="dxa"/>
          </w:tcPr>
          <w:p w14:paraId="76F6E17B" w14:textId="77777777" w:rsidR="00633E01" w:rsidRPr="00191102" w:rsidRDefault="00633E01" w:rsidP="00B94AA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Estado com apoio de outras partes interessadas com conhecimento especializado e técnicas de investigação</w:t>
            </w:r>
          </w:p>
        </w:tc>
        <w:tc>
          <w:tcPr>
            <w:tcW w:w="1447" w:type="dxa"/>
          </w:tcPr>
          <w:p w14:paraId="78352AD5" w14:textId="77777777" w:rsidR="00633E01" w:rsidRPr="00191102" w:rsidRDefault="00633E01" w:rsidP="00A43D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9110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626" w:type="dxa"/>
          </w:tcPr>
          <w:p w14:paraId="2AB93706" w14:textId="77777777" w:rsidR="00633E01" w:rsidRPr="00777332" w:rsidRDefault="00633E01" w:rsidP="008B72A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Conduzir investigação – legal, antropológica, académica e outras formas - sobre as causas principais </w:t>
            </w:r>
            <w:r w:rsidR="00445823" w:rsidRPr="00777332">
              <w:rPr>
                <w:rStyle w:val="FootnoteReference"/>
                <w:sz w:val="26"/>
                <w:lang w:val="pt-PT" w:bidi="pt-PT"/>
              </w:rPr>
              <w:footnoteReference w:id="3"/>
            </w:r>
            <w:r w:rsidRPr="00777332">
              <w:rPr>
                <w:sz w:val="26"/>
                <w:lang w:val="pt-PT" w:bidi="pt-PT"/>
              </w:rPr>
              <w:t xml:space="preserve"> e solucioná-las. A investigação deve incluir o tráfico transfronteiriço de elementos do corpo humano.</w:t>
            </w:r>
          </w:p>
        </w:tc>
      </w:tr>
    </w:tbl>
    <w:p w14:paraId="49B655F5" w14:textId="77777777" w:rsidR="00191102" w:rsidRDefault="00191102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730C6AF2" w14:textId="77777777" w:rsidR="00317474" w:rsidRPr="001A3ABE" w:rsidRDefault="003D312B" w:rsidP="009B3C79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proteção</w:t>
      </w:r>
    </w:p>
    <w:tbl>
      <w:tblPr>
        <w:tblStyle w:val="TableGrid"/>
        <w:tblW w:w="14130" w:type="dxa"/>
        <w:tblInd w:w="-432" w:type="dxa"/>
        <w:tblLook w:val="04A0" w:firstRow="1" w:lastRow="0" w:firstColumn="1" w:lastColumn="0" w:noHBand="0" w:noVBand="1"/>
      </w:tblPr>
      <w:tblGrid>
        <w:gridCol w:w="372"/>
        <w:gridCol w:w="5062"/>
        <w:gridCol w:w="2787"/>
        <w:gridCol w:w="1139"/>
        <w:gridCol w:w="4770"/>
      </w:tblGrid>
      <w:tr w:rsidR="00633E01" w:rsidRPr="00777332" w14:paraId="1B8E46DF" w14:textId="77777777" w:rsidTr="00D625D3">
        <w:tc>
          <w:tcPr>
            <w:tcW w:w="372" w:type="dxa"/>
          </w:tcPr>
          <w:p w14:paraId="3E6FC90A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5062" w:type="dxa"/>
          </w:tcPr>
          <w:p w14:paraId="618059AD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Área prioritária</w:t>
            </w:r>
          </w:p>
        </w:tc>
        <w:tc>
          <w:tcPr>
            <w:tcW w:w="2787" w:type="dxa"/>
          </w:tcPr>
          <w:p w14:paraId="13FD21E9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Parte responsável</w:t>
            </w:r>
          </w:p>
        </w:tc>
        <w:tc>
          <w:tcPr>
            <w:tcW w:w="1139" w:type="dxa"/>
          </w:tcPr>
          <w:p w14:paraId="710A95DF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>Período de tempo</w:t>
            </w:r>
          </w:p>
        </w:tc>
        <w:tc>
          <w:tcPr>
            <w:tcW w:w="4770" w:type="dxa"/>
          </w:tcPr>
          <w:p w14:paraId="3E248EFD" w14:textId="77777777" w:rsidR="00633E01" w:rsidRPr="00777332" w:rsidRDefault="00374774" w:rsidP="00374774">
            <w:pPr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777332">
              <w:rPr>
                <w:sz w:val="26"/>
                <w:u w:val="single"/>
                <w:lang w:val="pt-PT" w:bidi="pt-PT"/>
              </w:rPr>
              <w:t xml:space="preserve">Ideias </w:t>
            </w:r>
            <w:proofErr w:type="gramStart"/>
            <w:r w:rsidRPr="00777332">
              <w:rPr>
                <w:sz w:val="26"/>
                <w:u w:val="single"/>
                <w:lang w:val="pt-PT" w:bidi="pt-PT"/>
              </w:rPr>
              <w:t>sobre Como</w:t>
            </w:r>
            <w:proofErr w:type="gramEnd"/>
            <w:r w:rsidRPr="00777332">
              <w:rPr>
                <w:sz w:val="26"/>
                <w:u w:val="single"/>
                <w:lang w:val="pt-PT" w:bidi="pt-PT"/>
              </w:rPr>
              <w:t>/ Comentários</w:t>
            </w:r>
          </w:p>
        </w:tc>
      </w:tr>
      <w:tr w:rsidR="00633E01" w:rsidRPr="00777332" w14:paraId="3325D50E" w14:textId="77777777" w:rsidTr="00D625D3">
        <w:tc>
          <w:tcPr>
            <w:tcW w:w="372" w:type="dxa"/>
          </w:tcPr>
          <w:p w14:paraId="3C418D03" w14:textId="77777777" w:rsidR="00633E01" w:rsidRPr="00777332" w:rsidRDefault="00633E01" w:rsidP="00B94AAD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1</w:t>
            </w:r>
          </w:p>
        </w:tc>
        <w:tc>
          <w:tcPr>
            <w:tcW w:w="5062" w:type="dxa"/>
          </w:tcPr>
          <w:p w14:paraId="39CB882D" w14:textId="77777777" w:rsidR="00633E01" w:rsidRPr="00777332" w:rsidRDefault="00633E01" w:rsidP="009C690E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Aplicação eficaz da lei em resposta aos ataques e violações contra pessoas com albinismo</w:t>
            </w:r>
          </w:p>
        </w:tc>
        <w:tc>
          <w:tcPr>
            <w:tcW w:w="2787" w:type="dxa"/>
          </w:tcPr>
          <w:p w14:paraId="50340941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14:paraId="7753D375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770" w:type="dxa"/>
          </w:tcPr>
          <w:p w14:paraId="65E42F54" w14:textId="77777777"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e criação de recursos por parte de todos os agentes de autoridade incluindo guardas de fronteira. Fortalecimento das estruturas de proteção com base na comunidade com início na autoridade tradicional.</w:t>
            </w:r>
          </w:p>
          <w:p w14:paraId="7DF8A538" w14:textId="77777777"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lastRenderedPageBreak/>
              <w:t>Reforço de estruturas de casas e ambiente de vida.</w:t>
            </w:r>
          </w:p>
          <w:p w14:paraId="46E75146" w14:textId="77777777"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Equipar as PCA com ferramentas de segurança.</w:t>
            </w:r>
          </w:p>
        </w:tc>
      </w:tr>
      <w:tr w:rsidR="00633E01" w:rsidRPr="00777332" w14:paraId="7FFC6594" w14:textId="77777777" w:rsidTr="00D625D3">
        <w:tc>
          <w:tcPr>
            <w:tcW w:w="372" w:type="dxa"/>
          </w:tcPr>
          <w:p w14:paraId="4D6B3FC5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lastRenderedPageBreak/>
              <w:t>2</w:t>
            </w:r>
          </w:p>
        </w:tc>
        <w:tc>
          <w:tcPr>
            <w:tcW w:w="5062" w:type="dxa"/>
          </w:tcPr>
          <w:p w14:paraId="267A3F8F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 xml:space="preserve">Rever o quadro legislativo tráfico de elementos do corpo humano e bruxaria, bem como a medicina tradicional e reconhecer a "cor" como base para a discriminação </w:t>
            </w:r>
          </w:p>
        </w:tc>
        <w:tc>
          <w:tcPr>
            <w:tcW w:w="2787" w:type="dxa"/>
          </w:tcPr>
          <w:p w14:paraId="3AE5265E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14:paraId="03FDC0B0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14:paraId="38D5DFED" w14:textId="77777777" w:rsidR="00633E01" w:rsidRPr="00777332" w:rsidRDefault="00D625D3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Rever o quadro penal para a adequação em resposta aos ataques e violações contra PcA. Abranger o tráfico de elementos do corpo humano como alta criminalidade. Evitar os crimes relacionados com bruxaria. Regular a prática dos curandeiros tradicionais. Incluir a cor como uma base proibida de discriminação.</w:t>
            </w:r>
          </w:p>
        </w:tc>
      </w:tr>
      <w:tr w:rsidR="00633E01" w:rsidRPr="00777332" w14:paraId="25F4E922" w14:textId="77777777" w:rsidTr="00D625D3">
        <w:tc>
          <w:tcPr>
            <w:tcW w:w="372" w:type="dxa"/>
          </w:tcPr>
          <w:p w14:paraId="10D1E0D8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3</w:t>
            </w:r>
          </w:p>
        </w:tc>
        <w:tc>
          <w:tcPr>
            <w:tcW w:w="5062" w:type="dxa"/>
          </w:tcPr>
          <w:p w14:paraId="5EAB7E88" w14:textId="77777777" w:rsidR="00633E01" w:rsidRPr="00777332" w:rsidRDefault="00633E01" w:rsidP="00F0317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dos trabalhadores de cuidados de saúde e de parteiras</w:t>
            </w:r>
          </w:p>
        </w:tc>
        <w:tc>
          <w:tcPr>
            <w:tcW w:w="2787" w:type="dxa"/>
          </w:tcPr>
          <w:p w14:paraId="74220CDB" w14:textId="77777777" w:rsidR="00633E01" w:rsidRPr="00777332" w:rsidRDefault="005C6992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Estado e todas as partes interessadas</w:t>
            </w:r>
          </w:p>
        </w:tc>
        <w:tc>
          <w:tcPr>
            <w:tcW w:w="1139" w:type="dxa"/>
          </w:tcPr>
          <w:p w14:paraId="59542B83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M</w:t>
            </w:r>
          </w:p>
        </w:tc>
        <w:tc>
          <w:tcPr>
            <w:tcW w:w="4770" w:type="dxa"/>
          </w:tcPr>
          <w:p w14:paraId="0D162778" w14:textId="77777777" w:rsidR="00633E01" w:rsidRPr="00777332" w:rsidRDefault="00633E01" w:rsidP="00EA3700">
            <w:pPr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Formação sobre albinismo e intervenção precoce, particularmente ligada ao cancro de pele e deficiência de visão (incluindo medidas preventivas e curativas).  Especial destaque para as mulheres com albinismo e mães de crianças com albinismo</w:t>
            </w:r>
          </w:p>
        </w:tc>
      </w:tr>
      <w:tr w:rsidR="00633E01" w:rsidRPr="00777332" w14:paraId="188FD30D" w14:textId="77777777" w:rsidTr="00D625D3">
        <w:tc>
          <w:tcPr>
            <w:tcW w:w="372" w:type="dxa"/>
          </w:tcPr>
          <w:p w14:paraId="3FA07C37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4</w:t>
            </w:r>
          </w:p>
        </w:tc>
        <w:tc>
          <w:tcPr>
            <w:tcW w:w="5062" w:type="dxa"/>
          </w:tcPr>
          <w:p w14:paraId="0ACA3309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Regimes de segurança social devem incluir PCA</w:t>
            </w:r>
          </w:p>
        </w:tc>
        <w:tc>
          <w:tcPr>
            <w:tcW w:w="2787" w:type="dxa"/>
          </w:tcPr>
          <w:p w14:paraId="0A1486B6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Estado</w:t>
            </w:r>
          </w:p>
        </w:tc>
        <w:tc>
          <w:tcPr>
            <w:tcW w:w="1139" w:type="dxa"/>
          </w:tcPr>
          <w:p w14:paraId="5080AE90" w14:textId="77777777" w:rsidR="00633E01" w:rsidRPr="00777332" w:rsidRDefault="00633E01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14:paraId="73B597DC" w14:textId="77777777" w:rsidR="00633E01" w:rsidRPr="0077733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Programas de assistência social, assistência jurídica, programas de combate à pobreza, etc</w:t>
            </w:r>
          </w:p>
        </w:tc>
      </w:tr>
      <w:tr w:rsidR="00633E01" w:rsidRPr="00777332" w14:paraId="6CCA697C" w14:textId="77777777" w:rsidTr="00D625D3">
        <w:tc>
          <w:tcPr>
            <w:tcW w:w="372" w:type="dxa"/>
          </w:tcPr>
          <w:p w14:paraId="60A06493" w14:textId="77777777"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5</w:t>
            </w:r>
          </w:p>
        </w:tc>
        <w:tc>
          <w:tcPr>
            <w:tcW w:w="5062" w:type="dxa"/>
          </w:tcPr>
          <w:p w14:paraId="043F46DA" w14:textId="77777777"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Controlo e entrega de relatórios – apoiar o trabalho da sociedade civil</w:t>
            </w:r>
          </w:p>
        </w:tc>
        <w:tc>
          <w:tcPr>
            <w:tcW w:w="2787" w:type="dxa"/>
          </w:tcPr>
          <w:p w14:paraId="0A8DDECF" w14:textId="77777777" w:rsidR="00633E01" w:rsidRPr="00777332" w:rsidRDefault="005C6992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Estado e todas as partes interessadas</w:t>
            </w:r>
          </w:p>
        </w:tc>
        <w:tc>
          <w:tcPr>
            <w:tcW w:w="1139" w:type="dxa"/>
          </w:tcPr>
          <w:p w14:paraId="7FA954DB" w14:textId="77777777" w:rsidR="00633E01" w:rsidRPr="00777332" w:rsidRDefault="00F03179" w:rsidP="00A07F6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332">
              <w:rPr>
                <w:sz w:val="26"/>
                <w:lang w:val="pt-PT" w:bidi="pt-PT"/>
              </w:rPr>
              <w:t>I a L</w:t>
            </w:r>
          </w:p>
        </w:tc>
        <w:tc>
          <w:tcPr>
            <w:tcW w:w="4770" w:type="dxa"/>
          </w:tcPr>
          <w:p w14:paraId="1E295577" w14:textId="77777777" w:rsidR="005C699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 xml:space="preserve">Apoiar a sociedade civil com recursos.  </w:t>
            </w:r>
          </w:p>
          <w:p w14:paraId="32C06C1B" w14:textId="77777777" w:rsidR="005C6992" w:rsidRDefault="005C6992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Incluí-la em todos os processos e programas relacionados com eles.</w:t>
            </w:r>
          </w:p>
          <w:p w14:paraId="1B00124A" w14:textId="77777777" w:rsidR="00633E01" w:rsidRPr="00777332" w:rsidRDefault="00B848CF" w:rsidP="00EA3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lang w:val="pt-PT" w:bidi="pt-PT"/>
              </w:rPr>
              <w:t>Deixar espaço para a sociedade civil</w:t>
            </w:r>
          </w:p>
        </w:tc>
      </w:tr>
    </w:tbl>
    <w:p w14:paraId="2C3DBAA0" w14:textId="77777777" w:rsidR="00317474" w:rsidRDefault="00317474" w:rsidP="008F179E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p w14:paraId="572D5A46" w14:textId="77777777" w:rsidR="00191102" w:rsidRDefault="00191102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01ED1A95" w14:textId="77777777" w:rsidR="00317474" w:rsidRPr="001A3ABE" w:rsidRDefault="00633E01" w:rsidP="009B3C79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responsabilização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78"/>
        <w:gridCol w:w="4673"/>
        <w:gridCol w:w="2806"/>
        <w:gridCol w:w="1251"/>
        <w:gridCol w:w="4410"/>
      </w:tblGrid>
      <w:tr w:rsidR="00E812DC" w14:paraId="3E14079F" w14:textId="77777777" w:rsidTr="00445823">
        <w:tc>
          <w:tcPr>
            <w:tcW w:w="378" w:type="dxa"/>
          </w:tcPr>
          <w:p w14:paraId="00216FDE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14:paraId="1DCD51CC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Área prioritária</w:t>
            </w:r>
          </w:p>
        </w:tc>
        <w:tc>
          <w:tcPr>
            <w:tcW w:w="2806" w:type="dxa"/>
          </w:tcPr>
          <w:p w14:paraId="68C7C7C8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Parte responsável</w:t>
            </w:r>
          </w:p>
        </w:tc>
        <w:tc>
          <w:tcPr>
            <w:tcW w:w="1251" w:type="dxa"/>
          </w:tcPr>
          <w:p w14:paraId="53483AF1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Período de tempo</w:t>
            </w:r>
          </w:p>
        </w:tc>
        <w:tc>
          <w:tcPr>
            <w:tcW w:w="4410" w:type="dxa"/>
          </w:tcPr>
          <w:p w14:paraId="150A0FFD" w14:textId="77777777" w:rsidR="00E812DC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 xml:space="preserve">Ideias </w:t>
            </w:r>
            <w:proofErr w:type="gramStart"/>
            <w:r>
              <w:rPr>
                <w:sz w:val="28"/>
                <w:u w:val="single"/>
                <w:lang w:val="pt-PT" w:bidi="pt-PT"/>
              </w:rPr>
              <w:t>sobre Como</w:t>
            </w:r>
            <w:proofErr w:type="gramEnd"/>
            <w:r>
              <w:rPr>
                <w:sz w:val="28"/>
                <w:u w:val="single"/>
                <w:lang w:val="pt-PT" w:bidi="pt-PT"/>
              </w:rPr>
              <w:t>/ Comentários</w:t>
            </w:r>
          </w:p>
        </w:tc>
      </w:tr>
      <w:tr w:rsidR="00E812DC" w14:paraId="300C3FD8" w14:textId="77777777" w:rsidTr="00445823">
        <w:tc>
          <w:tcPr>
            <w:tcW w:w="378" w:type="dxa"/>
          </w:tcPr>
          <w:p w14:paraId="217526C5" w14:textId="77777777" w:rsidR="00E812DC" w:rsidRPr="00E812DC" w:rsidRDefault="00E812DC" w:rsidP="00E812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1</w:t>
            </w:r>
          </w:p>
        </w:tc>
        <w:tc>
          <w:tcPr>
            <w:tcW w:w="4673" w:type="dxa"/>
          </w:tcPr>
          <w:p w14:paraId="265D1C66" w14:textId="77777777" w:rsidR="00E812DC" w:rsidRPr="00374774" w:rsidRDefault="00445823" w:rsidP="003747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Combater a impunidade; </w:t>
            </w:r>
            <w:proofErr w:type="gramStart"/>
            <w:r>
              <w:rPr>
                <w:sz w:val="28"/>
                <w:lang w:val="pt-PT" w:bidi="pt-PT"/>
              </w:rPr>
              <w:t>Dar</w:t>
            </w:r>
            <w:proofErr w:type="gramEnd"/>
            <w:r>
              <w:rPr>
                <w:sz w:val="28"/>
                <w:lang w:val="pt-PT" w:bidi="pt-PT"/>
              </w:rPr>
              <w:t xml:space="preserve"> prioridade ao julgamento dos casos de ataques</w:t>
            </w:r>
          </w:p>
        </w:tc>
        <w:tc>
          <w:tcPr>
            <w:tcW w:w="2806" w:type="dxa"/>
          </w:tcPr>
          <w:p w14:paraId="5D173DCF" w14:textId="77777777"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251" w:type="dxa"/>
          </w:tcPr>
          <w:p w14:paraId="5FAB1659" w14:textId="77777777"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14:paraId="4185409B" w14:textId="77777777" w:rsidR="00E812DC" w:rsidRPr="00374774" w:rsidRDefault="00B848CF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Formar promotores e investigadores através do manual (melhores práticas existentes). Emitir orientações de condenação e atribuir casos aos tribunais superiores. Atribuir recursos aos promotores, agentes de investigação e funcionários responsáveis pela aplicação da lei. Nomear um promotor especial.</w:t>
            </w:r>
          </w:p>
        </w:tc>
      </w:tr>
      <w:tr w:rsidR="00E812DC" w14:paraId="04731FFE" w14:textId="77777777" w:rsidTr="00445823">
        <w:tc>
          <w:tcPr>
            <w:tcW w:w="378" w:type="dxa"/>
          </w:tcPr>
          <w:p w14:paraId="60FA0A86" w14:textId="77777777" w:rsidR="00E812DC" w:rsidRDefault="00E812DC" w:rsidP="008E4358">
            <w:pPr>
              <w:tabs>
                <w:tab w:val="left" w:pos="21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2</w:t>
            </w:r>
          </w:p>
        </w:tc>
        <w:tc>
          <w:tcPr>
            <w:tcW w:w="4673" w:type="dxa"/>
          </w:tcPr>
          <w:p w14:paraId="73729456" w14:textId="77777777" w:rsidR="00E812DC" w:rsidRPr="008E4358" w:rsidRDefault="00E812DC" w:rsidP="008E4358">
            <w:pPr>
              <w:tabs>
                <w:tab w:val="left" w:pos="21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Apoio à vítima</w:t>
            </w:r>
          </w:p>
        </w:tc>
        <w:tc>
          <w:tcPr>
            <w:tcW w:w="2806" w:type="dxa"/>
          </w:tcPr>
          <w:p w14:paraId="0DB1A965" w14:textId="77777777" w:rsidR="00E812DC" w:rsidRPr="00374774" w:rsidRDefault="005C699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251" w:type="dxa"/>
          </w:tcPr>
          <w:p w14:paraId="73BC4ECC" w14:textId="77777777"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14:paraId="1A27D06A" w14:textId="77777777" w:rsidR="00E812DC" w:rsidRPr="00374774" w:rsidRDefault="007C7612" w:rsidP="007C76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Apoio psicossocial, médico, legal e socioeconómico para reconstruir a vida, para as vítimas e familiares sobreviventes. Devem estar disponíveis a nível comunitário</w:t>
            </w:r>
          </w:p>
        </w:tc>
      </w:tr>
      <w:tr w:rsidR="00E812DC" w14:paraId="3F61515F" w14:textId="77777777" w:rsidTr="00445823">
        <w:tc>
          <w:tcPr>
            <w:tcW w:w="378" w:type="dxa"/>
          </w:tcPr>
          <w:p w14:paraId="4F9F1090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3</w:t>
            </w:r>
          </w:p>
        </w:tc>
        <w:tc>
          <w:tcPr>
            <w:tcW w:w="4673" w:type="dxa"/>
          </w:tcPr>
          <w:p w14:paraId="244B547B" w14:textId="77777777" w:rsidR="00E812DC" w:rsidRPr="008E4358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Reintegração dos deslocados</w:t>
            </w:r>
          </w:p>
        </w:tc>
        <w:tc>
          <w:tcPr>
            <w:tcW w:w="2806" w:type="dxa"/>
          </w:tcPr>
          <w:p w14:paraId="78F4C94C" w14:textId="77777777" w:rsidR="00E812DC" w:rsidRPr="00374774" w:rsidRDefault="005C699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251" w:type="dxa"/>
          </w:tcPr>
          <w:p w14:paraId="61DB67E9" w14:textId="77777777" w:rsidR="00E812DC" w:rsidRPr="00374774" w:rsidRDefault="00374774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4774">
              <w:rPr>
                <w:sz w:val="28"/>
                <w:lang w:val="pt-PT" w:bidi="pt-PT"/>
              </w:rPr>
              <w:t>I a M</w:t>
            </w:r>
          </w:p>
        </w:tc>
        <w:tc>
          <w:tcPr>
            <w:tcW w:w="4410" w:type="dxa"/>
          </w:tcPr>
          <w:p w14:paraId="392E46DD" w14:textId="77777777" w:rsidR="00E812DC" w:rsidRPr="00374774" w:rsidRDefault="00A4431F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O processo deve ser executado pela equipa que consiste na comunidade e nas agências de desenvolvimento internacional. Proceder à avaliação de segurança e educação pública antes da reintegração. Agir no melhor interesse da criança.</w:t>
            </w:r>
          </w:p>
        </w:tc>
      </w:tr>
    </w:tbl>
    <w:p w14:paraId="137B6F20" w14:textId="77777777" w:rsidR="00317474" w:rsidRDefault="00317474" w:rsidP="00317474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p w14:paraId="0162C84A" w14:textId="77777777" w:rsidR="00E812DC" w:rsidRDefault="00E812DC" w:rsidP="00317474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45AA720F" w14:textId="77777777" w:rsidR="00191102" w:rsidRPr="001A3ABE" w:rsidRDefault="00191102" w:rsidP="0031747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E6859D" w14:textId="77777777" w:rsidR="00317474" w:rsidRPr="001A3ABE" w:rsidRDefault="00317474" w:rsidP="009B3C79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A3ABE">
        <w:rPr>
          <w:b/>
          <w:sz w:val="28"/>
          <w:u w:val="single"/>
          <w:lang w:val="pt-PT" w:bidi="pt-PT"/>
        </w:rPr>
        <w:t>Medidas de igualdade e não discriminação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78"/>
        <w:gridCol w:w="4601"/>
        <w:gridCol w:w="2826"/>
        <w:gridCol w:w="1843"/>
        <w:gridCol w:w="3870"/>
      </w:tblGrid>
      <w:tr w:rsidR="00E812DC" w14:paraId="2D181BE5" w14:textId="77777777" w:rsidTr="0021173D">
        <w:tc>
          <w:tcPr>
            <w:tcW w:w="378" w:type="dxa"/>
          </w:tcPr>
          <w:p w14:paraId="44A0A702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601" w:type="dxa"/>
          </w:tcPr>
          <w:p w14:paraId="6233E2CC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Área prioritária</w:t>
            </w:r>
          </w:p>
        </w:tc>
        <w:tc>
          <w:tcPr>
            <w:tcW w:w="2826" w:type="dxa"/>
          </w:tcPr>
          <w:p w14:paraId="7B909B99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Parte responsável</w:t>
            </w:r>
          </w:p>
        </w:tc>
        <w:tc>
          <w:tcPr>
            <w:tcW w:w="1843" w:type="dxa"/>
          </w:tcPr>
          <w:p w14:paraId="75AE4792" w14:textId="77777777" w:rsidR="00E812DC" w:rsidRDefault="00E812DC" w:rsidP="00A07F6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>Período de tempo</w:t>
            </w:r>
          </w:p>
        </w:tc>
        <w:tc>
          <w:tcPr>
            <w:tcW w:w="3870" w:type="dxa"/>
          </w:tcPr>
          <w:p w14:paraId="39FCAA25" w14:textId="77777777" w:rsidR="00E812DC" w:rsidRDefault="00374774" w:rsidP="0037477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  <w:lang w:val="pt-PT" w:bidi="pt-PT"/>
              </w:rPr>
              <w:t xml:space="preserve">Ideias </w:t>
            </w:r>
            <w:proofErr w:type="gramStart"/>
            <w:r>
              <w:rPr>
                <w:sz w:val="28"/>
                <w:u w:val="single"/>
                <w:lang w:val="pt-PT" w:bidi="pt-PT"/>
              </w:rPr>
              <w:t>sobre Como</w:t>
            </w:r>
            <w:proofErr w:type="gramEnd"/>
            <w:r>
              <w:rPr>
                <w:sz w:val="28"/>
                <w:u w:val="single"/>
                <w:lang w:val="pt-PT" w:bidi="pt-PT"/>
              </w:rPr>
              <w:t>/ Comentários</w:t>
            </w:r>
          </w:p>
        </w:tc>
      </w:tr>
      <w:tr w:rsidR="00E812DC" w14:paraId="672F46CC" w14:textId="77777777" w:rsidTr="0021173D">
        <w:tc>
          <w:tcPr>
            <w:tcW w:w="378" w:type="dxa"/>
          </w:tcPr>
          <w:p w14:paraId="10F2DA7D" w14:textId="77777777" w:rsidR="00E812DC" w:rsidRPr="00C333F9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1</w:t>
            </w:r>
          </w:p>
        </w:tc>
        <w:tc>
          <w:tcPr>
            <w:tcW w:w="4601" w:type="dxa"/>
          </w:tcPr>
          <w:p w14:paraId="4FB4AD06" w14:textId="77777777" w:rsidR="00E812DC" w:rsidRPr="00C333F9" w:rsidRDefault="001E5015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Criar a função ou agente sobre albinismo no Ministério de Incapacidade ou outra estrutura de direitos humanos nacional</w:t>
            </w:r>
          </w:p>
        </w:tc>
        <w:tc>
          <w:tcPr>
            <w:tcW w:w="2826" w:type="dxa"/>
          </w:tcPr>
          <w:p w14:paraId="615EA12F" w14:textId="77777777"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843" w:type="dxa"/>
          </w:tcPr>
          <w:p w14:paraId="065A7865" w14:textId="77777777"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14:paraId="57C978E1" w14:textId="77777777" w:rsidR="00E812DC" w:rsidRPr="001E5015" w:rsidRDefault="001E5015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O agente pode ser alojado no departamento geral de grupos de deficiência, saúde, e/ou marginalizados e minoritários para garantir a implementação das medidas deste Plano, entre outros</w:t>
            </w:r>
          </w:p>
        </w:tc>
      </w:tr>
      <w:tr w:rsidR="00E812DC" w14:paraId="1CB9F3CF" w14:textId="77777777" w:rsidTr="0021173D">
        <w:tc>
          <w:tcPr>
            <w:tcW w:w="378" w:type="dxa"/>
          </w:tcPr>
          <w:p w14:paraId="1BBBF201" w14:textId="77777777" w:rsidR="00E812DC" w:rsidRPr="00C333F9" w:rsidRDefault="00AA7682" w:rsidP="00596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2</w:t>
            </w:r>
          </w:p>
        </w:tc>
        <w:tc>
          <w:tcPr>
            <w:tcW w:w="4601" w:type="dxa"/>
          </w:tcPr>
          <w:p w14:paraId="143FC770" w14:textId="77777777" w:rsidR="00E812DC" w:rsidRPr="00C333F9" w:rsidRDefault="0059673C" w:rsidP="00596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Visão: Alojamento razoável (educação e local de trabalho)</w:t>
            </w:r>
          </w:p>
        </w:tc>
        <w:tc>
          <w:tcPr>
            <w:tcW w:w="2826" w:type="dxa"/>
          </w:tcPr>
          <w:p w14:paraId="6DD2DA91" w14:textId="77777777"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Estado</w:t>
            </w:r>
          </w:p>
        </w:tc>
        <w:tc>
          <w:tcPr>
            <w:tcW w:w="1843" w:type="dxa"/>
          </w:tcPr>
          <w:p w14:paraId="4D17E66F" w14:textId="77777777" w:rsidR="00E812DC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5015"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14:paraId="28F0109C" w14:textId="77777777" w:rsidR="00E812DC" w:rsidRPr="005D3131" w:rsidRDefault="00A4431F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Fornecer e assegurar dispositivos adaptativos e suporte à visão na aula e no local de trabalho, incluindo cópias das notas de professores/alunos, conforme necessário. Incluir as PCA nas políticas de incapacidade e benefícios. </w:t>
            </w:r>
          </w:p>
        </w:tc>
      </w:tr>
      <w:tr w:rsidR="00AA7682" w14:paraId="4F081050" w14:textId="77777777" w:rsidTr="0021173D">
        <w:tc>
          <w:tcPr>
            <w:tcW w:w="378" w:type="dxa"/>
          </w:tcPr>
          <w:p w14:paraId="24CB1C73" w14:textId="77777777" w:rsidR="00AA7682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3</w:t>
            </w:r>
          </w:p>
        </w:tc>
        <w:tc>
          <w:tcPr>
            <w:tcW w:w="4601" w:type="dxa"/>
          </w:tcPr>
          <w:p w14:paraId="1F0F2FDC" w14:textId="77777777" w:rsidR="00AA7682" w:rsidRDefault="0059673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Cancro de pele: acesso adequado aos cuidados de saúde</w:t>
            </w:r>
          </w:p>
        </w:tc>
        <w:tc>
          <w:tcPr>
            <w:tcW w:w="2826" w:type="dxa"/>
          </w:tcPr>
          <w:p w14:paraId="24ABDAB9" w14:textId="77777777" w:rsidR="00AA7682" w:rsidRDefault="00A175CC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Estado </w:t>
            </w:r>
          </w:p>
        </w:tc>
        <w:tc>
          <w:tcPr>
            <w:tcW w:w="1843" w:type="dxa"/>
          </w:tcPr>
          <w:p w14:paraId="6FF2AFD7" w14:textId="77777777" w:rsidR="00AA7682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14:paraId="4C50B3A1" w14:textId="77777777" w:rsidR="00AA7682" w:rsidRDefault="00AA7682" w:rsidP="00A443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Fornecer a distribuição ampla do sistema de cremes de proteção solar e fornecer tratamento contra o cancro e pré-cancro a custo zero. Reembolsar o custo se a distância dos cuidados for longe </w:t>
            </w:r>
            <w:r>
              <w:rPr>
                <w:sz w:val="28"/>
                <w:lang w:val="pt-PT" w:bidi="pt-PT"/>
              </w:rPr>
              <w:lastRenderedPageBreak/>
              <w:t>da residência. Garantir que não se fica em pé ao sol na escola, no trabalho ou no acesso a serviços governamentais. Utilização da clínica móvel (melhores práticas).</w:t>
            </w:r>
          </w:p>
        </w:tc>
      </w:tr>
      <w:tr w:rsidR="001E5015" w14:paraId="2D898857" w14:textId="77777777" w:rsidTr="0021173D">
        <w:tc>
          <w:tcPr>
            <w:tcW w:w="378" w:type="dxa"/>
          </w:tcPr>
          <w:p w14:paraId="0366AB54" w14:textId="77777777" w:rsidR="001E5015" w:rsidRPr="00C333F9" w:rsidRDefault="00AA7682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lastRenderedPageBreak/>
              <w:t>4</w:t>
            </w:r>
          </w:p>
        </w:tc>
        <w:tc>
          <w:tcPr>
            <w:tcW w:w="4601" w:type="dxa"/>
          </w:tcPr>
          <w:p w14:paraId="14C755F6" w14:textId="77777777" w:rsid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Deve aplicar-se um princípio de interseccionalidade</w:t>
            </w:r>
          </w:p>
        </w:tc>
        <w:tc>
          <w:tcPr>
            <w:tcW w:w="2826" w:type="dxa"/>
          </w:tcPr>
          <w:p w14:paraId="3E398ACB" w14:textId="77777777" w:rsidR="001E5015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Estado e todas as partes interessadas</w:t>
            </w:r>
          </w:p>
        </w:tc>
        <w:tc>
          <w:tcPr>
            <w:tcW w:w="1843" w:type="dxa"/>
          </w:tcPr>
          <w:p w14:paraId="408E7213" w14:textId="77777777" w:rsidR="001E5015" w:rsidRPr="001E5015" w:rsidRDefault="001E5015" w:rsidP="00A07F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>I a L</w:t>
            </w:r>
          </w:p>
        </w:tc>
        <w:tc>
          <w:tcPr>
            <w:tcW w:w="3870" w:type="dxa"/>
          </w:tcPr>
          <w:p w14:paraId="33BB250F" w14:textId="77777777" w:rsidR="001E5015" w:rsidRPr="001E5015" w:rsidRDefault="001E5015" w:rsidP="00641A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lang w:val="pt-PT" w:bidi="pt-PT"/>
              </w:rPr>
              <w:t xml:space="preserve">Abordar e incorporar questões pertinentes relacionados com mulheres, crianças e problemas de discriminação com base na cor </w:t>
            </w:r>
          </w:p>
        </w:tc>
      </w:tr>
    </w:tbl>
    <w:p w14:paraId="10404DEC" w14:textId="77777777" w:rsidR="00317474" w:rsidRDefault="00317474" w:rsidP="00317474">
      <w:pPr>
        <w:tabs>
          <w:tab w:val="left" w:pos="1665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sz w:val="28"/>
          <w:lang w:val="pt-PT" w:bidi="pt-PT"/>
        </w:rPr>
        <w:tab/>
      </w:r>
    </w:p>
    <w:sectPr w:rsidR="00317474" w:rsidSect="00B73408">
      <w:footerReference w:type="default" r:id="rId8"/>
      <w:pgSz w:w="15840" w:h="12240" w:orient="landscape"/>
      <w:pgMar w:top="108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53AE" w14:textId="77777777" w:rsidR="003003EF" w:rsidRDefault="003003EF" w:rsidP="00E67AE5">
      <w:pPr>
        <w:spacing w:after="0" w:line="240" w:lineRule="auto"/>
      </w:pPr>
      <w:r>
        <w:separator/>
      </w:r>
    </w:p>
  </w:endnote>
  <w:endnote w:type="continuationSeparator" w:id="0">
    <w:p w14:paraId="6CF8C0D6" w14:textId="77777777" w:rsidR="003003EF" w:rsidRDefault="003003EF" w:rsidP="00E6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Myungjo Std M">
    <w:altName w:val="Arial Unicode MS"/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3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21AB5" w14:textId="77777777" w:rsidR="009E6538" w:rsidRDefault="009E6538">
        <w:pPr>
          <w:pStyle w:val="Footer"/>
          <w:jc w:val="right"/>
        </w:pPr>
        <w:r>
          <w:rPr>
            <w:lang w:val="pt-PT" w:bidi="pt-PT"/>
          </w:rPr>
          <w:fldChar w:fldCharType="begin"/>
        </w:r>
        <w:r>
          <w:rPr>
            <w:lang w:val="pt-PT" w:bidi="pt-PT"/>
          </w:rPr>
          <w:instrText xml:space="preserve"> PAGE   \* MERGEFORMAT </w:instrText>
        </w:r>
        <w:r>
          <w:rPr>
            <w:lang w:val="pt-PT" w:bidi="pt-PT"/>
          </w:rPr>
          <w:fldChar w:fldCharType="separate"/>
        </w:r>
        <w:r w:rsidR="009548B0">
          <w:rPr>
            <w:noProof/>
            <w:lang w:val="pt-PT" w:bidi="pt-PT"/>
          </w:rPr>
          <w:t>2</w:t>
        </w:r>
        <w:r>
          <w:rPr>
            <w:noProof/>
            <w:lang w:val="pt-PT" w:bidi="pt-PT"/>
          </w:rPr>
          <w:fldChar w:fldCharType="end"/>
        </w:r>
      </w:p>
    </w:sdtContent>
  </w:sdt>
  <w:p w14:paraId="6C2757F6" w14:textId="77777777" w:rsidR="009E6538" w:rsidRDefault="009E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5869" w14:textId="77777777" w:rsidR="003003EF" w:rsidRDefault="003003EF" w:rsidP="00E67AE5">
      <w:pPr>
        <w:spacing w:after="0" w:line="240" w:lineRule="auto"/>
      </w:pPr>
      <w:r>
        <w:separator/>
      </w:r>
    </w:p>
  </w:footnote>
  <w:footnote w:type="continuationSeparator" w:id="0">
    <w:p w14:paraId="3CA915AA" w14:textId="77777777" w:rsidR="003003EF" w:rsidRDefault="003003EF" w:rsidP="00E67AE5">
      <w:pPr>
        <w:spacing w:after="0" w:line="240" w:lineRule="auto"/>
      </w:pPr>
      <w:r>
        <w:continuationSeparator/>
      </w:r>
    </w:p>
  </w:footnote>
  <w:footnote w:id="1">
    <w:p w14:paraId="2D2F0072" w14:textId="77777777" w:rsidR="00E67AE5" w:rsidRPr="00E67AE5" w:rsidRDefault="00E67AE5">
      <w:pPr>
        <w:pStyle w:val="FootnoteText"/>
        <w:rPr>
          <w:lang w:val="en-CA"/>
        </w:rPr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Gabinete do Alto Comissariado para os Direitos Humanos (ACNUDH), UNESCO, UNICEF, PNUD, etc</w:t>
      </w:r>
    </w:p>
  </w:footnote>
  <w:footnote w:id="2">
    <w:p w14:paraId="7F30E31C" w14:textId="77777777" w:rsidR="000A55FA" w:rsidRPr="000A55FA" w:rsidRDefault="000A55FA">
      <w:pPr>
        <w:pStyle w:val="FootnoteText"/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"Reforçar os meios de implementação e revitalizar a parceria global para o desenvolvimento sustentável."</w:t>
      </w:r>
    </w:p>
  </w:footnote>
  <w:footnote w:id="3">
    <w:p w14:paraId="1185B73D" w14:textId="77777777" w:rsidR="00445823" w:rsidRPr="00445823" w:rsidRDefault="00445823" w:rsidP="00445823">
      <w:pPr>
        <w:pStyle w:val="HChG"/>
        <w:tabs>
          <w:tab w:val="clear" w:pos="851"/>
          <w:tab w:val="right" w:pos="0"/>
        </w:tabs>
        <w:spacing w:after="0" w:line="240" w:lineRule="auto"/>
        <w:ind w:left="90" w:firstLine="36"/>
        <w:jc w:val="both"/>
        <w:rPr>
          <w:b w:val="0"/>
          <w:sz w:val="18"/>
          <w:szCs w:val="18"/>
        </w:rPr>
      </w:pPr>
      <w:r>
        <w:rPr>
          <w:rStyle w:val="FootnoteReference"/>
          <w:lang w:val="pt-PT" w:bidi="pt-PT"/>
        </w:rPr>
        <w:footnoteRef/>
      </w:r>
      <w:r>
        <w:rPr>
          <w:lang w:val="pt-PT" w:bidi="pt-PT"/>
        </w:rPr>
        <w:t xml:space="preserve"> </w:t>
      </w:r>
      <w:r w:rsidRPr="00445823">
        <w:rPr>
          <w:b w:val="0"/>
          <w:sz w:val="18"/>
          <w:lang w:val="pt-PT" w:bidi="pt-PT"/>
        </w:rPr>
        <w:t xml:space="preserve">As causas principais identificadas no relatório do perito independente da ONU incluem falácias sobre o albinismo, bruxaria, fraca aplicação da lei, lacuna nas leis relacionadas com o tráfico de elementos do corpo humano, bem como a ambiguidade em bruxaria e nas leis e prática de medicina tradicional. Ver </w:t>
      </w:r>
      <w:r w:rsidRPr="00445823">
        <w:rPr>
          <w:rStyle w:val="FootnoteReference"/>
          <w:b w:val="0"/>
          <w:sz w:val="18"/>
          <w:lang w:val="pt-PT" w:bidi="pt-PT"/>
        </w:rPr>
        <w:footnoteRef/>
      </w:r>
      <w:r w:rsidRPr="00445823">
        <w:rPr>
          <w:b w:val="0"/>
          <w:sz w:val="18"/>
          <w:lang w:val="pt-PT" w:bidi="pt-PT"/>
        </w:rPr>
        <w:t xml:space="preserve"> Relatório do perito independente na Aplicação dos Direitos Humanos em Pessoas com Albinismo, Causas de Ataques e de Discriminação contra as Pessoas com Albinismo - Um Levantamento Preliminar, 27 de julho de 2016, A/71/41016.</w:t>
      </w:r>
    </w:p>
    <w:p w14:paraId="51D3619F" w14:textId="77777777" w:rsidR="00445823" w:rsidRPr="00445823" w:rsidRDefault="00445823" w:rsidP="00445823">
      <w:pPr>
        <w:pStyle w:val="FootnoteText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53D1"/>
    <w:multiLevelType w:val="hybridMultilevel"/>
    <w:tmpl w:val="8FE6E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3BF"/>
    <w:multiLevelType w:val="hybridMultilevel"/>
    <w:tmpl w:val="D7B61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A1A"/>
    <w:multiLevelType w:val="hybridMultilevel"/>
    <w:tmpl w:val="D00CE57A"/>
    <w:lvl w:ilvl="0" w:tplc="65F61A8C">
      <w:start w:val="2017"/>
      <w:numFmt w:val="bullet"/>
      <w:lvlText w:val="-"/>
      <w:lvlJc w:val="left"/>
      <w:pPr>
        <w:ind w:left="2520" w:hanging="360"/>
      </w:pPr>
      <w:rPr>
        <w:rFonts w:ascii="Adobe Myungjo Std M" w:eastAsia="Adobe Myungjo Std M" w:hAnsi="Adobe Myungjo Std M" w:cs="Arial" w:hint="eastAsia"/>
        <w:u w:val="none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CD570AF"/>
    <w:multiLevelType w:val="hybridMultilevel"/>
    <w:tmpl w:val="5FD03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31FCD"/>
    <w:multiLevelType w:val="hybridMultilevel"/>
    <w:tmpl w:val="64883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1749F"/>
    <w:multiLevelType w:val="hybridMultilevel"/>
    <w:tmpl w:val="96863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E5"/>
    <w:rsid w:val="000A55FA"/>
    <w:rsid w:val="001768A2"/>
    <w:rsid w:val="00191102"/>
    <w:rsid w:val="001A3ABE"/>
    <w:rsid w:val="001E5015"/>
    <w:rsid w:val="0021173D"/>
    <w:rsid w:val="00266EF4"/>
    <w:rsid w:val="002A1197"/>
    <w:rsid w:val="002A2F5D"/>
    <w:rsid w:val="003003EF"/>
    <w:rsid w:val="00317474"/>
    <w:rsid w:val="00353C27"/>
    <w:rsid w:val="00374774"/>
    <w:rsid w:val="003D312B"/>
    <w:rsid w:val="00445823"/>
    <w:rsid w:val="00482E5F"/>
    <w:rsid w:val="00554F9D"/>
    <w:rsid w:val="00562F92"/>
    <w:rsid w:val="00596299"/>
    <w:rsid w:val="0059673C"/>
    <w:rsid w:val="005C6992"/>
    <w:rsid w:val="005D3131"/>
    <w:rsid w:val="00630BC9"/>
    <w:rsid w:val="00633E01"/>
    <w:rsid w:val="00641AE2"/>
    <w:rsid w:val="00662AB5"/>
    <w:rsid w:val="00666ED4"/>
    <w:rsid w:val="0077493A"/>
    <w:rsid w:val="00777332"/>
    <w:rsid w:val="007C7612"/>
    <w:rsid w:val="007D62AC"/>
    <w:rsid w:val="008B72AB"/>
    <w:rsid w:val="008E4217"/>
    <w:rsid w:val="008E4358"/>
    <w:rsid w:val="008F179E"/>
    <w:rsid w:val="00925AB5"/>
    <w:rsid w:val="009548B0"/>
    <w:rsid w:val="009B3C79"/>
    <w:rsid w:val="009C690E"/>
    <w:rsid w:val="009E6538"/>
    <w:rsid w:val="00A175CC"/>
    <w:rsid w:val="00A43D06"/>
    <w:rsid w:val="00A4431F"/>
    <w:rsid w:val="00AA274C"/>
    <w:rsid w:val="00AA2EFC"/>
    <w:rsid w:val="00AA7682"/>
    <w:rsid w:val="00B0313A"/>
    <w:rsid w:val="00B73408"/>
    <w:rsid w:val="00B848CF"/>
    <w:rsid w:val="00B94AAD"/>
    <w:rsid w:val="00BB1007"/>
    <w:rsid w:val="00BD4155"/>
    <w:rsid w:val="00C333F9"/>
    <w:rsid w:val="00C87C4F"/>
    <w:rsid w:val="00CD33BA"/>
    <w:rsid w:val="00D30BF5"/>
    <w:rsid w:val="00D625D3"/>
    <w:rsid w:val="00E67AE5"/>
    <w:rsid w:val="00E812DC"/>
    <w:rsid w:val="00EA3700"/>
    <w:rsid w:val="00EB5AE6"/>
    <w:rsid w:val="00EE2674"/>
    <w:rsid w:val="00F03179"/>
    <w:rsid w:val="00F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A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A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7A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AE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7AE5"/>
    <w:rPr>
      <w:vertAlign w:val="superscript"/>
    </w:rPr>
  </w:style>
  <w:style w:type="table" w:styleId="TableGrid">
    <w:name w:val="Table Grid"/>
    <w:basedOn w:val="TableNormal"/>
    <w:uiPriority w:val="59"/>
    <w:rsid w:val="00A43D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G">
    <w:name w:val="_ H _Ch_G"/>
    <w:basedOn w:val="Normal"/>
    <w:next w:val="Normal"/>
    <w:link w:val="HChGChar"/>
    <w:rsid w:val="0044582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ChGChar">
    <w:name w:val="_ H _Ch_G Char"/>
    <w:link w:val="HChG"/>
    <w:rsid w:val="0044582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38"/>
    <w:rPr>
      <w:lang w:val="en-GB"/>
    </w:rPr>
  </w:style>
  <w:style w:type="paragraph" w:styleId="ListParagraph">
    <w:name w:val="List Paragraph"/>
    <w:basedOn w:val="Normal"/>
    <w:uiPriority w:val="34"/>
    <w:qFormat/>
    <w:rsid w:val="0017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0886-8DF7-6146-B6DA-E0895046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Simphiwe Khumalo</cp:lastModifiedBy>
  <cp:revision>2</cp:revision>
  <dcterms:created xsi:type="dcterms:W3CDTF">2018-05-24T12:28:00Z</dcterms:created>
  <dcterms:modified xsi:type="dcterms:W3CDTF">2018-05-24T12:28:00Z</dcterms:modified>
</cp:coreProperties>
</file>